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476D" w14:textId="77777777" w:rsidR="0076663F" w:rsidRDefault="0076663F" w:rsidP="00C7640E">
      <w:pPr>
        <w:pStyle w:val="Title1-Bold"/>
        <w:spacing w:line="240" w:lineRule="auto"/>
        <w:jc w:val="center"/>
        <w:rPr>
          <w:rFonts w:ascii="Calibri" w:hAnsi="Calibri" w:cs="Open Sans"/>
          <w:color w:val="006982"/>
          <w:sz w:val="44"/>
          <w:szCs w:val="44"/>
          <w:lang w:val="es-ES"/>
        </w:rPr>
      </w:pPr>
      <w:r w:rsidRPr="0076663F">
        <w:rPr>
          <w:rFonts w:ascii="Calibri" w:hAnsi="Calibri" w:cs="Open Sans"/>
          <w:color w:val="006982"/>
          <w:sz w:val="44"/>
          <w:szCs w:val="44"/>
          <w:lang w:val="es-ES"/>
        </w:rPr>
        <w:t>Valoració de lesions per pressió i apòsits més freqüents</w:t>
      </w:r>
    </w:p>
    <w:p w14:paraId="34154755" w14:textId="6434D0E0" w:rsidR="009646AE" w:rsidRPr="004D20AB" w:rsidRDefault="0076663F" w:rsidP="00C7640E">
      <w:pPr>
        <w:pStyle w:val="Title1-Bold"/>
        <w:spacing w:line="240" w:lineRule="auto"/>
        <w:jc w:val="center"/>
        <w:rPr>
          <w:rFonts w:ascii="Calibri" w:hAnsi="Calibri" w:cs="Open Sans"/>
          <w:caps/>
          <w:color w:val="00B0F0"/>
          <w:sz w:val="28"/>
          <w:szCs w:val="28"/>
          <w:lang w:val="es-ES"/>
        </w:rPr>
      </w:pPr>
      <w:r w:rsidRPr="0076663F">
        <w:rPr>
          <w:rFonts w:ascii="Calibri" w:hAnsi="Calibri" w:cs="Open Sans"/>
          <w:color w:val="00B0F0"/>
          <w:sz w:val="28"/>
          <w:szCs w:val="28"/>
          <w:lang w:val="es-ES"/>
        </w:rPr>
        <w:t>NOVEMBRE</w:t>
      </w:r>
      <w:r w:rsidR="00CD2B8F">
        <w:rPr>
          <w:rFonts w:ascii="Calibri" w:hAnsi="Calibri" w:cs="Open Sans"/>
          <w:color w:val="00B0F0"/>
          <w:sz w:val="28"/>
          <w:szCs w:val="28"/>
          <w:lang w:val="es-ES"/>
        </w:rPr>
        <w:t xml:space="preserve"> </w:t>
      </w:r>
      <w:r w:rsidR="004D20AB">
        <w:rPr>
          <w:rFonts w:ascii="Calibri" w:hAnsi="Calibri" w:cs="Open Sans"/>
          <w:color w:val="00B0F0"/>
          <w:sz w:val="28"/>
          <w:szCs w:val="28"/>
          <w:lang w:val="es-ES"/>
        </w:rPr>
        <w:t>-</w:t>
      </w:r>
      <w:r w:rsidR="007A18B6">
        <w:rPr>
          <w:rFonts w:ascii="Calibri" w:hAnsi="Calibri" w:cs="Open Sans"/>
          <w:color w:val="00B0F0"/>
          <w:sz w:val="28"/>
          <w:szCs w:val="28"/>
          <w:lang w:val="es-ES"/>
        </w:rPr>
        <w:t xml:space="preserve"> 202</w:t>
      </w:r>
      <w:r w:rsidR="0045168B">
        <w:rPr>
          <w:rFonts w:ascii="Calibri" w:hAnsi="Calibri" w:cs="Open Sans"/>
          <w:color w:val="00B0F0"/>
          <w:sz w:val="28"/>
          <w:szCs w:val="28"/>
          <w:lang w:val="es-ES"/>
        </w:rPr>
        <w:t>2</w:t>
      </w:r>
    </w:p>
    <w:p w14:paraId="70B37A9A" w14:textId="77777777" w:rsidR="007A18B6" w:rsidRDefault="007A18B6" w:rsidP="007A18B6">
      <w:pPr>
        <w:jc w:val="both"/>
        <w:rPr>
          <w:rFonts w:ascii="Calibri" w:hAnsi="Calibri" w:cs="Open Sans"/>
          <w:b/>
          <w:color w:val="006982"/>
          <w:sz w:val="24"/>
        </w:rPr>
      </w:pPr>
    </w:p>
    <w:p w14:paraId="5C291A80" w14:textId="77777777" w:rsidR="00085D02" w:rsidRPr="007A18B6" w:rsidRDefault="00085D02" w:rsidP="00085D02">
      <w:pPr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A18B6">
        <w:rPr>
          <w:rFonts w:ascii="Calibri" w:hAnsi="Calibri" w:cs="Open Sans"/>
          <w:b/>
          <w:color w:val="006982"/>
          <w:sz w:val="24"/>
        </w:rPr>
        <w:t>Autor: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Dr. José Luis Gómez Urquiza</w:t>
      </w:r>
    </w:p>
    <w:p w14:paraId="7CCCA84A" w14:textId="7C08540E" w:rsidR="007A18B6" w:rsidRPr="007A18B6" w:rsidRDefault="00085D02" w:rsidP="00085D02">
      <w:pPr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C4258C">
        <w:rPr>
          <w:rFonts w:ascii="Calibri" w:hAnsi="Calibri" w:cs="Open Sans"/>
          <w:b/>
          <w:color w:val="006982"/>
          <w:sz w:val="24"/>
        </w:rPr>
        <w:t>Data d'elaboració: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</w:t>
      </w:r>
      <w:r w:rsidR="007A18B6"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</w:t>
      </w:r>
      <w:r w:rsidR="0076663F">
        <w:rPr>
          <w:rFonts w:ascii="Calibri" w:hAnsi="Calibri" w:cs="Open Sans"/>
          <w:color w:val="595959" w:themeColor="text1" w:themeTint="A6"/>
          <w:sz w:val="24"/>
          <w:szCs w:val="24"/>
        </w:rPr>
        <w:t>3</w:t>
      </w:r>
      <w:r w:rsidR="001E5E15">
        <w:rPr>
          <w:rFonts w:ascii="Calibri" w:hAnsi="Calibri" w:cs="Open Sans"/>
          <w:color w:val="595959" w:themeColor="text1" w:themeTint="A6"/>
          <w:sz w:val="24"/>
          <w:szCs w:val="24"/>
        </w:rPr>
        <w:t>1</w:t>
      </w:r>
      <w:r w:rsidR="007A18B6" w:rsidRPr="007A18B6">
        <w:rPr>
          <w:rFonts w:ascii="Calibri" w:hAnsi="Calibri" w:cs="Open Sans"/>
          <w:color w:val="595959" w:themeColor="text1" w:themeTint="A6"/>
          <w:sz w:val="24"/>
          <w:szCs w:val="24"/>
        </w:rPr>
        <w:t>/</w:t>
      </w:r>
      <w:r w:rsidR="0076663F">
        <w:rPr>
          <w:rFonts w:ascii="Calibri" w:hAnsi="Calibri" w:cs="Open Sans"/>
          <w:color w:val="595959" w:themeColor="text1" w:themeTint="A6"/>
          <w:sz w:val="24"/>
          <w:szCs w:val="24"/>
        </w:rPr>
        <w:t>1</w:t>
      </w:r>
      <w:r w:rsidR="004D20AB">
        <w:rPr>
          <w:rFonts w:ascii="Calibri" w:hAnsi="Calibri" w:cs="Open Sans"/>
          <w:color w:val="595959" w:themeColor="text1" w:themeTint="A6"/>
          <w:sz w:val="24"/>
          <w:szCs w:val="24"/>
        </w:rPr>
        <w:t>0</w:t>
      </w:r>
      <w:r w:rsidR="007A18B6" w:rsidRPr="007A18B6">
        <w:rPr>
          <w:rFonts w:ascii="Calibri" w:hAnsi="Calibri" w:cs="Open Sans"/>
          <w:color w:val="595959" w:themeColor="text1" w:themeTint="A6"/>
          <w:sz w:val="24"/>
          <w:szCs w:val="24"/>
        </w:rPr>
        <w:t>/2</w:t>
      </w:r>
      <w:r w:rsidR="004D20AB">
        <w:rPr>
          <w:rFonts w:ascii="Calibri" w:hAnsi="Calibri" w:cs="Open Sans"/>
          <w:color w:val="595959" w:themeColor="text1" w:themeTint="A6"/>
          <w:sz w:val="24"/>
          <w:szCs w:val="24"/>
        </w:rPr>
        <w:t>02</w:t>
      </w:r>
      <w:r w:rsidR="001E5E15">
        <w:rPr>
          <w:rFonts w:ascii="Calibri" w:hAnsi="Calibri" w:cs="Open Sans"/>
          <w:color w:val="595959" w:themeColor="text1" w:themeTint="A6"/>
          <w:sz w:val="24"/>
          <w:szCs w:val="24"/>
        </w:rPr>
        <w:t>2</w:t>
      </w:r>
    </w:p>
    <w:p w14:paraId="2B7C3C77" w14:textId="19D20020" w:rsidR="00A77684" w:rsidRDefault="0076663F" w:rsidP="0076663F">
      <w:p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Dins de les recentment denominades </w:t>
      </w:r>
      <w:r w:rsidRPr="0076663F">
        <w:rPr>
          <w:rFonts w:ascii="Calibri" w:hAnsi="Calibri" w:cs="Open Sans"/>
          <w:b/>
          <w:bCs/>
          <w:color w:val="006982"/>
          <w:sz w:val="24"/>
          <w:szCs w:val="24"/>
        </w:rPr>
        <w:t>lesions cutànies relacionades amb la dependència</w:t>
      </w: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es troben les prèviament conegudes com a úlceres per pressió. Recentment s'ha proposat la seva denominació com a </w:t>
      </w:r>
      <w:r w:rsidRPr="0076663F">
        <w:rPr>
          <w:rFonts w:ascii="Calibri" w:hAnsi="Calibri" w:cs="Open Sans"/>
          <w:b/>
          <w:bCs/>
          <w:color w:val="006982"/>
          <w:sz w:val="24"/>
          <w:szCs w:val="24"/>
        </w:rPr>
        <w:t>lesions per pressió i cisalla</w:t>
      </w:r>
      <w:r w:rsidRPr="0076663F">
        <w:rPr>
          <w:rFonts w:ascii="Calibri" w:hAnsi="Calibri" w:cs="Open Sans"/>
          <w:color w:val="006982"/>
          <w:sz w:val="24"/>
          <w:szCs w:val="24"/>
        </w:rPr>
        <w:t xml:space="preserve"> </w:t>
      </w: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que es defineixen com “una lesió localitzada en la pell i/o el teixit subjacent en general sobre una prominència òssia, com a resultat de la pressió, o la pressió en combinació amb les forces de cisalla”. També podria aparèixer aquesta pressió a causa de material o dispositius clínics.</w:t>
      </w:r>
    </w:p>
    <w:p w14:paraId="60B4BBA2" w14:textId="77777777" w:rsidR="00B25227" w:rsidRDefault="00B25227" w:rsidP="0076663F">
      <w:p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6E454D77" w14:textId="77777777" w:rsidR="0076663F" w:rsidRPr="0076663F" w:rsidRDefault="0076663F" w:rsidP="0076663F">
      <w:p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La categorització de lesions per pressió inclou </w:t>
      </w:r>
      <w:r w:rsidRPr="0076663F">
        <w:rPr>
          <w:rFonts w:ascii="Calibri" w:hAnsi="Calibri" w:cs="Open Sans"/>
          <w:b/>
          <w:bCs/>
          <w:color w:val="006982"/>
          <w:sz w:val="24"/>
          <w:szCs w:val="24"/>
        </w:rPr>
        <w:t>4 categories</w:t>
      </w: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: la Categoria I o eritema que no emblanqueix, la Categoria II o úlcera de gruix parcial, la Categoria III o pèrdua total del gruix de la pell i la Categoria IV o pèrdua total del gruix dels teixits.</w:t>
      </w:r>
    </w:p>
    <w:p w14:paraId="73B9B22F" w14:textId="77777777" w:rsidR="0076663F" w:rsidRPr="0076663F" w:rsidRDefault="0076663F" w:rsidP="0076663F">
      <w:p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35F59AE7" w14:textId="77777777" w:rsidR="0076663F" w:rsidRPr="0076663F" w:rsidRDefault="0076663F" w:rsidP="0076663F">
      <w:p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La </w:t>
      </w:r>
      <w:r w:rsidRPr="0076663F">
        <w:rPr>
          <w:rFonts w:ascii="Calibri" w:hAnsi="Calibri" w:cs="Open Sans"/>
          <w:b/>
          <w:bCs/>
          <w:color w:val="006982"/>
          <w:sz w:val="24"/>
          <w:szCs w:val="24"/>
        </w:rPr>
        <w:t>valoració clínica</w:t>
      </w:r>
      <w:r w:rsidRPr="0076663F">
        <w:rPr>
          <w:rFonts w:ascii="Calibri" w:hAnsi="Calibri" w:cs="Open Sans"/>
          <w:color w:val="006982"/>
          <w:sz w:val="24"/>
          <w:szCs w:val="24"/>
        </w:rPr>
        <w:t xml:space="preserve"> </w:t>
      </w: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de les lesions per pressió inclou les següents variables: </w:t>
      </w:r>
    </w:p>
    <w:p w14:paraId="2A446410" w14:textId="4965CBF4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Exposició o causa: es pot deure a pressió o a pressió i/o cisalla.</w:t>
      </w:r>
    </w:p>
    <w:p w14:paraId="1CBF92FB" w14:textId="106BD068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Evolució del mal: des de fora a dins o des de dins cap a fora.</w:t>
      </w:r>
    </w:p>
    <w:p w14:paraId="7C766080" w14:textId="57C7E3D9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Localització de la lesió.</w:t>
      </w:r>
    </w:p>
    <w:p w14:paraId="64610CFA" w14:textId="167F06B9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Color de la pell integra.</w:t>
      </w:r>
    </w:p>
    <w:p w14:paraId="7A3BC409" w14:textId="6491F709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Afectació (pell, teixits subjacents, lesions superficials, lesions profundes).</w:t>
      </w:r>
    </w:p>
    <w:p w14:paraId="61DC78B7" w14:textId="128A02C1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Color del fons de la lesió (rosa, vermell, groguenc, marró, negre, etc.).</w:t>
      </w:r>
    </w:p>
    <w:p w14:paraId="620FF09A" w14:textId="17FF3887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Presència o no d'exsudat i les seves característiques.</w:t>
      </w:r>
    </w:p>
    <w:p w14:paraId="188E21E8" w14:textId="682E4B11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Vores (delimitació, difusos, circumscrit, etc.)</w:t>
      </w:r>
    </w:p>
    <w:p w14:paraId="1FB79295" w14:textId="2D2A1AF2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Forma, grandària i distribució (regular, arrodonida, ovalada, allongada, irregular, lineal, etc.).</w:t>
      </w:r>
    </w:p>
    <w:p w14:paraId="607F14AD" w14:textId="36AF7AE0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Presència o no de necrosi.</w:t>
      </w:r>
    </w:p>
    <w:p w14:paraId="064913AF" w14:textId="5E09628D" w:rsidR="0076663F" w:rsidRPr="0076663F" w:rsidRDefault="0076663F" w:rsidP="007666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Altres símptomes (dolor, edema, olor, pruïja, formigueig, etc.).</w:t>
      </w:r>
    </w:p>
    <w:p w14:paraId="3C84C417" w14:textId="77777777" w:rsidR="0076663F" w:rsidRPr="0076663F" w:rsidRDefault="0076663F" w:rsidP="0076663F">
      <w:p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4C6383F1" w14:textId="38303DAA" w:rsidR="0076663F" w:rsidRDefault="0076663F" w:rsidP="0076663F">
      <w:p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Entre els </w:t>
      </w:r>
      <w:r w:rsidRPr="0076663F">
        <w:rPr>
          <w:rFonts w:ascii="Calibri" w:hAnsi="Calibri" w:cs="Open Sans"/>
          <w:b/>
          <w:bCs/>
          <w:color w:val="006982"/>
          <w:sz w:val="24"/>
          <w:szCs w:val="24"/>
        </w:rPr>
        <w:t>productes</w:t>
      </w: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que poden usar-se per a la cura de les lesions per pressió existeixen, entre altres, i de forma resumida, els següents:</w:t>
      </w:r>
    </w:p>
    <w:p w14:paraId="20C9895F" w14:textId="0D8D986C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lastRenderedPageBreak/>
        <w:t>Per a la pell: àcids grassos hiperoxigenats amb silicona per a la prevenció de lesions i mescles de silicona a base siloxans per a la protecció de la pell perilesional.</w:t>
      </w:r>
    </w:p>
    <w:p w14:paraId="6EA7CCAA" w14:textId="53124FBD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Per a la neteja de ferides la polihexabiguanida (Prontosan®).</w:t>
      </w:r>
    </w:p>
    <w:p w14:paraId="366376B7" w14:textId="43E887D4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Per al desbridament apòsits hidrotersius de fibres de poliacrilat (UrgoClean ®), cadexòmer iodat i hidrogel.</w:t>
      </w:r>
    </w:p>
    <w:p w14:paraId="20CE261F" w14:textId="4F3F5D44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Fibres o cintes d’hidrofibra per a absorbir exsudat i afavorir el desbridament autolitic.</w:t>
      </w:r>
    </w:p>
    <w:p w14:paraId="1F992C5C" w14:textId="3FD5BF25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Malles per a la reducció d'adherències i evitar el ressecament de la zona i algunes que afavoreixen l’epitelització o amb acció antimicrobiana.</w:t>
      </w:r>
    </w:p>
    <w:p w14:paraId="524788A2" w14:textId="19246922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Apòsits hidrocol.loides que afavoreixen el desbridament autolitic i la cicatrització en ambient humit i podent fer-se servir també per a prevenció de lesions com a mitjà de protecció.</w:t>
      </w:r>
    </w:p>
    <w:p w14:paraId="1D518612" w14:textId="0D228CB2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Alginats per a lesions molt exsudatives i alginat de plata o plates no adhesives amb efecte antimicrobià.</w:t>
      </w:r>
    </w:p>
    <w:p w14:paraId="5B91247F" w14:textId="18638880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Apòsit matricial lípid-col·loide per a l'acceleració de la cicatrització.</w:t>
      </w:r>
    </w:p>
    <w:p w14:paraId="6A3212AC" w14:textId="3A0375E1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Apòsits d'escuma de poliuretà i escumes anatòmiques per a la prevenció i tractament de les lesions i per al maneig d'exsudat. </w:t>
      </w:r>
      <w:r w:rsidR="00746DC8">
        <w:rPr>
          <w:rFonts w:ascii="Calibri" w:hAnsi="Calibri" w:cs="Open Sans"/>
          <w:color w:val="595959" w:themeColor="text1" w:themeTint="A6"/>
          <w:sz w:val="24"/>
          <w:szCs w:val="24"/>
        </w:rPr>
        <w:t>Aqu</w:t>
      </w:r>
      <w:r w:rsidR="00CF1DB7">
        <w:rPr>
          <w:rFonts w:ascii="Calibri" w:hAnsi="Calibri" w:cs="Open Sans"/>
          <w:color w:val="595959" w:themeColor="text1" w:themeTint="A6"/>
          <w:sz w:val="24"/>
          <w:szCs w:val="24"/>
        </w:rPr>
        <w:t>ests</w:t>
      </w: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apòsits podran portar hidrocol.loide i plata.</w:t>
      </w:r>
    </w:p>
    <w:p w14:paraId="1E0337F6" w14:textId="06530E7F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Material impregnat en carbó per a les lesions que desprenen mala olor.</w:t>
      </w:r>
    </w:p>
    <w:p w14:paraId="7C86AC49" w14:textId="6635A2FD" w:rsidR="0076663F" w:rsidRPr="0076663F" w:rsidRDefault="0076663F" w:rsidP="007666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</w:rPr>
        <w:t>Teràpia de pressió negativa, que no ha de fer-se servir en ferides infectades.</w:t>
      </w:r>
    </w:p>
    <w:p w14:paraId="37C312B5" w14:textId="77777777" w:rsidR="0076663F" w:rsidRDefault="0076663F" w:rsidP="009646AE">
      <w:pPr>
        <w:spacing w:after="0" w:line="276" w:lineRule="auto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18142B0F" w14:textId="64DF510D" w:rsidR="009646AE" w:rsidRDefault="009646AE" w:rsidP="009646AE">
      <w:pPr>
        <w:spacing w:after="0" w:line="276" w:lineRule="auto"/>
        <w:rPr>
          <w:rFonts w:ascii="Calibri" w:hAnsi="Calibri" w:cs="Open Sans"/>
          <w:b/>
          <w:color w:val="006982"/>
          <w:sz w:val="28"/>
          <w:szCs w:val="24"/>
          <w:u w:val="single"/>
        </w:rPr>
      </w:pPr>
      <w:r>
        <w:rPr>
          <w:rFonts w:ascii="Calibri" w:hAnsi="Calibri" w:cs="Open Sans"/>
          <w:b/>
          <w:color w:val="006982"/>
          <w:sz w:val="28"/>
          <w:szCs w:val="24"/>
          <w:u w:val="single"/>
        </w:rPr>
        <w:t>BIBLIOGRAF</w:t>
      </w:r>
      <w:r w:rsidR="00CF1DB7">
        <w:rPr>
          <w:rFonts w:ascii="Calibri" w:hAnsi="Calibri" w:cs="Open Sans"/>
          <w:b/>
          <w:color w:val="006982"/>
          <w:sz w:val="28"/>
          <w:szCs w:val="24"/>
          <w:u w:val="single"/>
        </w:rPr>
        <w:t>I</w:t>
      </w:r>
      <w:r>
        <w:rPr>
          <w:rFonts w:ascii="Calibri" w:hAnsi="Calibri" w:cs="Open Sans"/>
          <w:b/>
          <w:color w:val="006982"/>
          <w:sz w:val="28"/>
          <w:szCs w:val="24"/>
          <w:u w:val="single"/>
        </w:rPr>
        <w:t>A</w:t>
      </w:r>
    </w:p>
    <w:p w14:paraId="708D24D5" w14:textId="77777777" w:rsidR="00103787" w:rsidRPr="00187EB9" w:rsidRDefault="00103787" w:rsidP="009646AE">
      <w:pPr>
        <w:spacing w:after="0" w:line="276" w:lineRule="auto"/>
        <w:rPr>
          <w:rFonts w:ascii="Calibri" w:hAnsi="Calibri" w:cs="Open Sans"/>
          <w:b/>
          <w:color w:val="006982"/>
          <w:sz w:val="28"/>
          <w:szCs w:val="24"/>
          <w:u w:val="single"/>
        </w:rPr>
      </w:pPr>
    </w:p>
    <w:p w14:paraId="6FE3B1BE" w14:textId="77777777" w:rsidR="0076663F" w:rsidRPr="0076663F" w:rsidRDefault="0076663F" w:rsidP="0076663F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s-ES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  <w:lang w:val="es-ES"/>
        </w:rPr>
        <w:t>García-Fernández et al. Clasificación-categorización de las lesiones relacionadas con la dependencia. Serie de Documentos Técnicos GNEAUPP nºII. 3ª edición Grupo Nacional para el Estudio y Asesoramiento en Úlceras por Presión y Heridas Crónicas Logroño. 2021.</w:t>
      </w:r>
    </w:p>
    <w:p w14:paraId="0D26C7F4" w14:textId="77777777" w:rsidR="0076663F" w:rsidRPr="0076663F" w:rsidRDefault="0076663F" w:rsidP="0076663F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s-ES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  <w:lang w:val="es-ES"/>
        </w:rPr>
        <w:t xml:space="preserve">Gerencia de Asistencia Sanitaria del Bierzo. Catálogo de productos para cura en ambiente húmedo [4 de marzo de 2022]. Disponible en </w:t>
      </w:r>
      <w:hyperlink r:id="rId9" w:history="1">
        <w:r w:rsidRPr="0076663F">
          <w:rPr>
            <w:rStyle w:val="Hipervnculo"/>
            <w:rFonts w:ascii="Calibri" w:hAnsi="Calibri" w:cs="Open Sans"/>
            <w:sz w:val="24"/>
            <w:szCs w:val="24"/>
            <w:lang w:val="es-ES"/>
          </w:rPr>
          <w:t>https://gneaupp.info/seccion/biblioteca-alhambra/guias-biblioteca-alhambra/guias-de-apositos/</w:t>
        </w:r>
      </w:hyperlink>
    </w:p>
    <w:p w14:paraId="23D18DEB" w14:textId="77777777" w:rsidR="0076663F" w:rsidRPr="0076663F" w:rsidRDefault="0076663F" w:rsidP="0076663F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s-ES"/>
        </w:rPr>
      </w:pPr>
      <w:r w:rsidRPr="0076663F">
        <w:rPr>
          <w:rFonts w:ascii="Calibri" w:hAnsi="Calibri" w:cs="Open Sans"/>
          <w:color w:val="595959" w:themeColor="text1" w:themeTint="A6"/>
          <w:sz w:val="24"/>
          <w:szCs w:val="24"/>
          <w:lang w:val="es-ES"/>
        </w:rPr>
        <w:t>Romero Pelegrín JM et al. Guía de productor para el tratamiento de heridas crónicas. 2ª edición. Unidad de Aprovisionamiento Integral SMS. 2020.</w:t>
      </w:r>
    </w:p>
    <w:p w14:paraId="2204B419" w14:textId="63769EFB" w:rsidR="009646AE" w:rsidRPr="00B6213B" w:rsidRDefault="009646AE" w:rsidP="00992BDB">
      <w:pPr>
        <w:spacing w:after="0" w:line="276" w:lineRule="auto"/>
        <w:ind w:left="360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</w:p>
    <w:p w14:paraId="1540880E" w14:textId="77777777" w:rsidR="009646AE" w:rsidRPr="00B6213B" w:rsidRDefault="009646AE" w:rsidP="009646AE">
      <w:pPr>
        <w:jc w:val="both"/>
        <w:rPr>
          <w:lang w:val="en-US"/>
        </w:rPr>
      </w:pPr>
    </w:p>
    <w:sectPr w:rsidR="009646AE" w:rsidRPr="00B6213B" w:rsidSect="009646AE">
      <w:headerReference w:type="default" r:id="rId10"/>
      <w:footerReference w:type="default" r:id="rId11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0C4F" w14:textId="77777777" w:rsidR="002544D8" w:rsidRDefault="002544D8" w:rsidP="00BA09E4">
      <w:pPr>
        <w:spacing w:after="0" w:line="240" w:lineRule="auto"/>
      </w:pPr>
      <w:r>
        <w:separator/>
      </w:r>
    </w:p>
  </w:endnote>
  <w:endnote w:type="continuationSeparator" w:id="0">
    <w:p w14:paraId="78E40020" w14:textId="77777777" w:rsidR="002544D8" w:rsidRDefault="002544D8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CA1" w14:textId="77777777" w:rsidR="002544D8" w:rsidRDefault="002544D8" w:rsidP="00BA09E4">
      <w:pPr>
        <w:spacing w:after="0" w:line="240" w:lineRule="auto"/>
      </w:pPr>
      <w:r>
        <w:separator/>
      </w:r>
    </w:p>
  </w:footnote>
  <w:footnote w:type="continuationSeparator" w:id="0">
    <w:p w14:paraId="55CC76E4" w14:textId="77777777" w:rsidR="002544D8" w:rsidRDefault="002544D8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7F6"/>
    <w:multiLevelType w:val="hybridMultilevel"/>
    <w:tmpl w:val="70FE55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757"/>
    <w:multiLevelType w:val="hybridMultilevel"/>
    <w:tmpl w:val="87F8CE06"/>
    <w:lvl w:ilvl="0" w:tplc="ADEEF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779"/>
    <w:multiLevelType w:val="hybridMultilevel"/>
    <w:tmpl w:val="46BC11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3E86"/>
    <w:multiLevelType w:val="hybridMultilevel"/>
    <w:tmpl w:val="C9D82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2215"/>
    <w:multiLevelType w:val="hybridMultilevel"/>
    <w:tmpl w:val="4FEEA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73F32"/>
    <w:multiLevelType w:val="hybridMultilevel"/>
    <w:tmpl w:val="2DD25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379B"/>
    <w:multiLevelType w:val="hybridMultilevel"/>
    <w:tmpl w:val="04DCC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40F4"/>
    <w:multiLevelType w:val="hybridMultilevel"/>
    <w:tmpl w:val="2174C074"/>
    <w:lvl w:ilvl="0" w:tplc="ADEEF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42B29"/>
    <w:multiLevelType w:val="hybridMultilevel"/>
    <w:tmpl w:val="F51AAC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13730">
    <w:abstractNumId w:val="6"/>
  </w:num>
  <w:num w:numId="2" w16cid:durableId="614674983">
    <w:abstractNumId w:val="4"/>
  </w:num>
  <w:num w:numId="3" w16cid:durableId="631331482">
    <w:abstractNumId w:val="5"/>
  </w:num>
  <w:num w:numId="4" w16cid:durableId="384257849">
    <w:abstractNumId w:val="2"/>
  </w:num>
  <w:num w:numId="5" w16cid:durableId="785007336">
    <w:abstractNumId w:val="0"/>
  </w:num>
  <w:num w:numId="6" w16cid:durableId="1062100797">
    <w:abstractNumId w:val="8"/>
  </w:num>
  <w:num w:numId="7" w16cid:durableId="181407745">
    <w:abstractNumId w:val="3"/>
  </w:num>
  <w:num w:numId="8" w16cid:durableId="945581998">
    <w:abstractNumId w:val="1"/>
  </w:num>
  <w:num w:numId="9" w16cid:durableId="1717898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67D1"/>
    <w:rsid w:val="00077BC2"/>
    <w:rsid w:val="00084730"/>
    <w:rsid w:val="0008559E"/>
    <w:rsid w:val="00085D02"/>
    <w:rsid w:val="00087746"/>
    <w:rsid w:val="00103787"/>
    <w:rsid w:val="001A6E48"/>
    <w:rsid w:val="001E5E15"/>
    <w:rsid w:val="002428A7"/>
    <w:rsid w:val="002544D8"/>
    <w:rsid w:val="0027610C"/>
    <w:rsid w:val="002777E5"/>
    <w:rsid w:val="0028216B"/>
    <w:rsid w:val="002914B0"/>
    <w:rsid w:val="002A6623"/>
    <w:rsid w:val="00303DE1"/>
    <w:rsid w:val="00327169"/>
    <w:rsid w:val="00366EBA"/>
    <w:rsid w:val="00397E76"/>
    <w:rsid w:val="003A1E22"/>
    <w:rsid w:val="003B51ED"/>
    <w:rsid w:val="003E7624"/>
    <w:rsid w:val="004169CD"/>
    <w:rsid w:val="00430D3E"/>
    <w:rsid w:val="00443929"/>
    <w:rsid w:val="0045168B"/>
    <w:rsid w:val="00480E34"/>
    <w:rsid w:val="00481181"/>
    <w:rsid w:val="004B6DD2"/>
    <w:rsid w:val="004D20AB"/>
    <w:rsid w:val="004F06B3"/>
    <w:rsid w:val="004F74E7"/>
    <w:rsid w:val="005459C3"/>
    <w:rsid w:val="00555039"/>
    <w:rsid w:val="005701D0"/>
    <w:rsid w:val="005A55A6"/>
    <w:rsid w:val="005B0F3D"/>
    <w:rsid w:val="005E2AB5"/>
    <w:rsid w:val="006218E4"/>
    <w:rsid w:val="00681B5C"/>
    <w:rsid w:val="006877E5"/>
    <w:rsid w:val="006A0185"/>
    <w:rsid w:val="006B5197"/>
    <w:rsid w:val="006B7EF9"/>
    <w:rsid w:val="006F0658"/>
    <w:rsid w:val="00710C3D"/>
    <w:rsid w:val="00734038"/>
    <w:rsid w:val="00746DC8"/>
    <w:rsid w:val="0076663F"/>
    <w:rsid w:val="007976FB"/>
    <w:rsid w:val="007A18B6"/>
    <w:rsid w:val="007E6D33"/>
    <w:rsid w:val="008030DA"/>
    <w:rsid w:val="008255E3"/>
    <w:rsid w:val="00887662"/>
    <w:rsid w:val="008B08D0"/>
    <w:rsid w:val="008D40F3"/>
    <w:rsid w:val="008E6023"/>
    <w:rsid w:val="00926343"/>
    <w:rsid w:val="00950705"/>
    <w:rsid w:val="009646AE"/>
    <w:rsid w:val="00992BDB"/>
    <w:rsid w:val="009A6825"/>
    <w:rsid w:val="009C109D"/>
    <w:rsid w:val="009C75E6"/>
    <w:rsid w:val="009E1E53"/>
    <w:rsid w:val="009E3DDA"/>
    <w:rsid w:val="00A0243D"/>
    <w:rsid w:val="00A77684"/>
    <w:rsid w:val="00A81673"/>
    <w:rsid w:val="00A97EF6"/>
    <w:rsid w:val="00AB70A0"/>
    <w:rsid w:val="00B25227"/>
    <w:rsid w:val="00B54F6F"/>
    <w:rsid w:val="00B620E1"/>
    <w:rsid w:val="00B6213B"/>
    <w:rsid w:val="00BA09E4"/>
    <w:rsid w:val="00BB1AD5"/>
    <w:rsid w:val="00BB5405"/>
    <w:rsid w:val="00BC2BF1"/>
    <w:rsid w:val="00BC3ED7"/>
    <w:rsid w:val="00BD3507"/>
    <w:rsid w:val="00BD524F"/>
    <w:rsid w:val="00C67511"/>
    <w:rsid w:val="00C7640E"/>
    <w:rsid w:val="00CD2B8F"/>
    <w:rsid w:val="00CE54BC"/>
    <w:rsid w:val="00CF1DB7"/>
    <w:rsid w:val="00D0352D"/>
    <w:rsid w:val="00D565DD"/>
    <w:rsid w:val="00D80005"/>
    <w:rsid w:val="00DD3801"/>
    <w:rsid w:val="00DE3B8C"/>
    <w:rsid w:val="00DE6B2F"/>
    <w:rsid w:val="00E34D8A"/>
    <w:rsid w:val="00EA398B"/>
    <w:rsid w:val="00EE2FEF"/>
    <w:rsid w:val="00F12363"/>
    <w:rsid w:val="00F45430"/>
    <w:rsid w:val="00F8196F"/>
    <w:rsid w:val="00F83618"/>
    <w:rsid w:val="00FD249A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customStyle="1" w:styleId="Title1-Bold">
    <w:name w:val="Title 1 - Bold"/>
    <w:basedOn w:val="Normal"/>
    <w:link w:val="Title1-BoldCar"/>
    <w:uiPriority w:val="99"/>
    <w:rsid w:val="009646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character" w:customStyle="1" w:styleId="TOC-Title">
    <w:name w:val="TOC - Title"/>
    <w:uiPriority w:val="99"/>
    <w:rsid w:val="009646AE"/>
    <w:rPr>
      <w:rFonts w:ascii="Open Sans ExtraBold" w:hAnsi="Open Sans ExtraBold" w:cs="Open Sans ExtraBold"/>
      <w:caps/>
      <w:sz w:val="28"/>
      <w:szCs w:val="28"/>
    </w:rPr>
  </w:style>
  <w:style w:type="character" w:customStyle="1" w:styleId="Title1-BoldCar">
    <w:name w:val="Title 1 - Bold Car"/>
    <w:basedOn w:val="Fuentedeprrafopredeter"/>
    <w:link w:val="Title1-Bold"/>
    <w:uiPriority w:val="99"/>
    <w:rsid w:val="009646AE"/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paragraph" w:styleId="Prrafodelista">
    <w:name w:val="List Paragraph"/>
    <w:basedOn w:val="Normal"/>
    <w:uiPriority w:val="34"/>
    <w:qFormat/>
    <w:rsid w:val="009646AE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A18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18B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E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34"/>
    <w:rPr>
      <w:rFonts w:ascii="Times New Roman" w:hAnsi="Times New Roman" w:cs="Times New Roman"/>
      <w:sz w:val="18"/>
      <w:szCs w:val="18"/>
    </w:rPr>
  </w:style>
  <w:style w:type="character" w:customStyle="1" w:styleId="citation-title">
    <w:name w:val="citation-title"/>
    <w:basedOn w:val="Fuentedeprrafopredeter"/>
    <w:rsid w:val="00D0352D"/>
  </w:style>
  <w:style w:type="character" w:customStyle="1" w:styleId="citation">
    <w:name w:val="citation"/>
    <w:basedOn w:val="Fuentedeprrafopredeter"/>
    <w:rsid w:val="00D0352D"/>
  </w:style>
  <w:style w:type="character" w:customStyle="1" w:styleId="pubyear">
    <w:name w:val="pubyear"/>
    <w:basedOn w:val="Fuentedeprrafopredeter"/>
    <w:rsid w:val="00D0352D"/>
  </w:style>
  <w:style w:type="character" w:customStyle="1" w:styleId="volume">
    <w:name w:val="volume"/>
    <w:basedOn w:val="Fuentedeprrafopredeter"/>
    <w:rsid w:val="00D0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neaupp.info/seccion/biblioteca-alhambra/guias-biblioteca-alhambra/guias-de-aposi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20" ma:contentTypeDescription="Crear nuevo documento." ma:contentTypeScope="" ma:versionID="038a41dd1b41947a5e98eafc890693d8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2e7556ee4c0105284aa705ace670ca69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219dfe4-4a4a-404d-98ff-a97be5b22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b0b64-1d7e-4e55-b3a7-9cb3d0ca4414}" ma:internalName="TaxCatchAll" ma:showField="CatchAllData" ma:web="b381f645-740b-42ed-b7a8-bca87c106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625FA-B237-45BA-B228-DD3FC6DD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0FE99-B16A-4F63-9120-41C82DC4C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Rebanal - SalusPlay</cp:lastModifiedBy>
  <cp:revision>64</cp:revision>
  <dcterms:created xsi:type="dcterms:W3CDTF">2020-05-11T09:21:00Z</dcterms:created>
  <dcterms:modified xsi:type="dcterms:W3CDTF">2022-11-14T12:02:00Z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